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72" w:rsidRDefault="000E4172" w:rsidP="000E4172">
      <w:pPr>
        <w:jc w:val="center"/>
        <w:rPr>
          <w:b/>
        </w:rPr>
      </w:pPr>
      <w:r>
        <w:rPr>
          <w:b/>
        </w:rPr>
        <w:t>Mathematics</w:t>
      </w:r>
    </w:p>
    <w:p w:rsidR="000E4172" w:rsidRPr="00220A70" w:rsidRDefault="000E4172" w:rsidP="000E4172">
      <w:pPr>
        <w:jc w:val="center"/>
        <w:rPr>
          <w:b/>
        </w:rPr>
      </w:pPr>
      <w:r>
        <w:rPr>
          <w:b/>
        </w:rPr>
        <w:t>An Etoys Number Slate: Multiply and Divide</w:t>
      </w:r>
    </w:p>
    <w:p w:rsidR="000E4172" w:rsidRDefault="000E4172" w:rsidP="000E4172">
      <w:pPr>
        <w:jc w:val="center"/>
        <w:rPr>
          <w:b/>
        </w:rPr>
      </w:pPr>
      <w:r>
        <w:rPr>
          <w:b/>
        </w:rPr>
        <w:t>Second-Third Grade Levels</w:t>
      </w:r>
    </w:p>
    <w:p w:rsidR="003C7FFB" w:rsidRDefault="003C7FFB" w:rsidP="000E4172">
      <w:pPr>
        <w:jc w:val="center"/>
        <w:rPr>
          <w:b/>
        </w:rPr>
      </w:pPr>
    </w:p>
    <w:p w:rsidR="003C7FFB" w:rsidRPr="00D7301C" w:rsidRDefault="00F62A41" w:rsidP="000E41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88" w:rsidRDefault="00657588"/>
    <w:tbl>
      <w:tblPr>
        <w:tblStyle w:val="TableGrid"/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1E0"/>
      </w:tblPr>
      <w:tblGrid>
        <w:gridCol w:w="1950"/>
        <w:gridCol w:w="6906"/>
      </w:tblGrid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6906" w:type="dxa"/>
          </w:tcPr>
          <w:p w:rsidR="00D06FB4" w:rsidRDefault="00D06FB4" w:rsidP="00657588">
            <w:r>
              <w:t xml:space="preserve">This lesson suggests many ways for students to use the </w:t>
            </w:r>
            <w:r w:rsidR="00657588">
              <w:t>Etoys</w:t>
            </w:r>
            <w:r>
              <w:t xml:space="preserve"> number slate to experiment with numbers.</w:t>
            </w:r>
          </w:p>
          <w:p w:rsidR="00D06FB4" w:rsidRDefault="00D06FB4" w:rsidP="00657588"/>
          <w:p w:rsidR="00D06FB4" w:rsidRDefault="00657588" w:rsidP="00657588">
            <w:r>
              <w:t>Patterns and sequences are easy to construct and change with this project. Students can play with and think about num</w:t>
            </w:r>
            <w:r w:rsidR="00D06FB4">
              <w:t>bers, their order and patterns.</w:t>
            </w:r>
          </w:p>
          <w:p w:rsidR="00D06FB4" w:rsidRDefault="00D06FB4" w:rsidP="00657588"/>
          <w:p w:rsidR="00657588" w:rsidRDefault="00657588" w:rsidP="00657588">
            <w:r>
              <w:t>Students add the math s</w:t>
            </w:r>
            <w:r w:rsidR="00CA48CD">
              <w:t xml:space="preserve">ymbols for multiply and divide and </w:t>
            </w:r>
            <w:r>
              <w:t>for dollars and cents to the number slate they made in a previous project.</w:t>
            </w:r>
          </w:p>
          <w:p w:rsidR="005B3A0F" w:rsidRDefault="00657588" w:rsidP="003C7FFB">
            <w:r>
              <w:t xml:space="preserve">    </w:t>
            </w:r>
          </w:p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6906" w:type="dxa"/>
          </w:tcPr>
          <w:p w:rsidR="00657588" w:rsidRDefault="00657588" w:rsidP="00657588">
            <w:r>
              <w:t xml:space="preserve">Students use the set of numbers to explore and develop mathematical relationships and ideas without the use of pencil and paper. </w:t>
            </w:r>
          </w:p>
          <w:p w:rsidR="00967533" w:rsidRDefault="00967533" w:rsidP="005B3A0F"/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6906" w:type="dxa"/>
          </w:tcPr>
          <w:p w:rsidR="005B3A0F" w:rsidRPr="00657588" w:rsidRDefault="00657588" w:rsidP="005B3A0F">
            <w:r w:rsidRPr="00657588">
              <w:t>Mathematics</w:t>
            </w:r>
          </w:p>
          <w:p w:rsidR="00967533" w:rsidRPr="00012450" w:rsidRDefault="00967533" w:rsidP="005B3A0F">
            <w:pPr>
              <w:rPr>
                <w:b/>
              </w:rPr>
            </w:pPr>
          </w:p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6906" w:type="dxa"/>
          </w:tcPr>
          <w:p w:rsidR="005B3A0F" w:rsidRDefault="00657588" w:rsidP="005B3A0F">
            <w:r>
              <w:t>30 Minutes</w:t>
            </w:r>
          </w:p>
          <w:p w:rsidR="00967533" w:rsidRDefault="00967533" w:rsidP="005B3A0F"/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Description:</w:t>
            </w:r>
          </w:p>
        </w:tc>
        <w:tc>
          <w:tcPr>
            <w:tcW w:w="6906" w:type="dxa"/>
          </w:tcPr>
          <w:p w:rsidR="00657588" w:rsidRDefault="00657588" w:rsidP="00657588">
            <w:r>
              <w:t>The number slate is a limitless supply of numbers for counting, sequencing, and creating patterns.</w:t>
            </w:r>
            <w:r w:rsidRPr="004E4AA1">
              <w:t xml:space="preserve"> </w:t>
            </w:r>
          </w:p>
          <w:p w:rsidR="00967533" w:rsidRDefault="00967533" w:rsidP="005B3A0F"/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Vocabulary:</w:t>
            </w:r>
          </w:p>
        </w:tc>
        <w:tc>
          <w:tcPr>
            <w:tcW w:w="6906" w:type="dxa"/>
          </w:tcPr>
          <w:p w:rsidR="005B3A0F" w:rsidRDefault="00657588" w:rsidP="005B3A0F">
            <w:r>
              <w:t>add, subtract, equals, multiply, divide, dollars, cents, decimal, counting, number names, zero, nothing, pattern, duplicate, copy, set, sequence, above, below, beside, before,  left, right, upper, lower, edge, near, up, down, between, almost, add, subtract, equals, exactly</w:t>
            </w:r>
          </w:p>
          <w:p w:rsidR="00967533" w:rsidRDefault="00967533" w:rsidP="005B3A0F"/>
        </w:tc>
      </w:tr>
      <w:tr w:rsidR="005B3A0F" w:rsidTr="004E238B">
        <w:tc>
          <w:tcPr>
            <w:tcW w:w="1950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Evaluation Criteria: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6906" w:type="dxa"/>
          </w:tcPr>
          <w:p w:rsidR="00657588" w:rsidRDefault="00657588" w:rsidP="00657588">
            <w:r>
              <w:t>Add and subtract single and two digit numbers.</w:t>
            </w:r>
          </w:p>
          <w:p w:rsidR="00657588" w:rsidRDefault="00657588" w:rsidP="00657588">
            <w:r>
              <w:t>Multiply single digit numbers</w:t>
            </w:r>
          </w:p>
          <w:p w:rsidR="00657588" w:rsidRDefault="00657588" w:rsidP="00657588">
            <w:r>
              <w:t>Use dollar and cents signs</w:t>
            </w:r>
          </w:p>
          <w:p w:rsidR="00657588" w:rsidRDefault="00657588" w:rsidP="00657588">
            <w:r>
              <w:t>Includes a decimal in their working set</w:t>
            </w:r>
          </w:p>
          <w:p w:rsidR="00657588" w:rsidRDefault="00657588" w:rsidP="00657588">
            <w:r>
              <w:t>Knows odd and even numbers</w:t>
            </w:r>
          </w:p>
          <w:p w:rsidR="00657588" w:rsidRPr="00BA6B0A" w:rsidRDefault="00657588" w:rsidP="00657588">
            <w:r>
              <w:t xml:space="preserve">Knows concepts: more than, less than, the same as </w:t>
            </w:r>
          </w:p>
          <w:p w:rsidR="00657588" w:rsidRDefault="00657588" w:rsidP="00657588">
            <w:r>
              <w:t>Knows how to Find and Publish Etoys project.</w:t>
            </w:r>
          </w:p>
          <w:p w:rsidR="00657588" w:rsidRDefault="00657588" w:rsidP="00657588">
            <w:r>
              <w:t>Knows how to use a playfield like a slate or sheet of paper.</w:t>
            </w:r>
          </w:p>
          <w:p w:rsidR="005B3A0F" w:rsidRDefault="005B3A0F" w:rsidP="005B3A0F"/>
        </w:tc>
      </w:tr>
      <w:tr w:rsidR="005B3A0F" w:rsidTr="004E238B">
        <w:tc>
          <w:tcPr>
            <w:tcW w:w="1950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Pr="00967533" w:rsidRDefault="005B3A0F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967533" w:rsidRDefault="00967533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>Etoys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 to</w:t>
            </w:r>
            <w:r w:rsidRPr="00967533">
              <w:rPr>
                <w:color w:val="008080"/>
                <w:sz w:val="20"/>
                <w:szCs w:val="20"/>
              </w:rPr>
              <w:t xml:space="preserve"> open </w:t>
            </w:r>
            <w:r w:rsidR="00DE6875">
              <w:rPr>
                <w:color w:val="008080"/>
                <w:sz w:val="20"/>
                <w:szCs w:val="20"/>
              </w:rPr>
              <w:t>the</w:t>
            </w:r>
            <w:r>
              <w:rPr>
                <w:color w:val="008080"/>
                <w:sz w:val="20"/>
                <w:szCs w:val="20"/>
              </w:rPr>
              <w:t xml:space="preserve"> set of 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6906" w:type="dxa"/>
          </w:tcPr>
          <w:p w:rsidR="003C7FFB" w:rsidRPr="00096980" w:rsidRDefault="003C7FFB" w:rsidP="003C7FFB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3C7FFB" w:rsidRDefault="003C7FFB" w:rsidP="003C7FFB">
            <w:pPr>
              <w:rPr>
                <w:color w:val="008080"/>
              </w:rPr>
            </w:pPr>
            <w:r w:rsidRPr="00096980">
              <w:rPr>
                <w:color w:val="008080"/>
              </w:rPr>
              <w:t xml:space="preserve">Etoys to open the set of tutorials about basic tools and techniques. </w:t>
            </w:r>
          </w:p>
          <w:p w:rsidR="003C7FFB" w:rsidRPr="00096980" w:rsidRDefault="003C7FFB" w:rsidP="003C7FFB">
            <w:pPr>
              <w:rPr>
                <w:color w:val="008080"/>
              </w:rPr>
            </w:pPr>
          </w:p>
          <w:p w:rsidR="00EA3934" w:rsidRDefault="00EA3934" w:rsidP="00EA3934">
            <w:r>
              <w:t>Use Etoys Quick Guides if the lesson mentions unfamiliar tools or techniques. Give students time to read them too.</w:t>
            </w:r>
          </w:p>
          <w:p w:rsidR="00EA3934" w:rsidRDefault="00EA3934" w:rsidP="00EA3934"/>
          <w:p w:rsidR="005B3A0F" w:rsidRDefault="005B3A0F" w:rsidP="005B3A0F">
            <w:r>
              <w:tab/>
            </w:r>
          </w:p>
          <w:p w:rsidR="005B3A0F" w:rsidRDefault="005B3A0F" w:rsidP="005B3A0F"/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6906" w:type="dxa"/>
          </w:tcPr>
          <w:p w:rsidR="005B3A0F" w:rsidRDefault="00603D55" w:rsidP="005B3A0F">
            <w:r>
              <w:t>Students use the slate</w:t>
            </w:r>
            <w:r w:rsidR="00657588">
              <w:t xml:space="preserve">s of numbers to play with and to explore mathematical ideas. The </w:t>
            </w:r>
            <w:r w:rsidR="00CA48CD">
              <w:t xml:space="preserve">lesson </w:t>
            </w:r>
            <w:r w:rsidR="00657588">
              <w:t>suggestions can be a source</w:t>
            </w:r>
            <w:r w:rsidR="00CA48CD">
              <w:t xml:space="preserve"> of</w:t>
            </w:r>
            <w:r w:rsidR="00657588">
              <w:t xml:space="preserve"> </w:t>
            </w:r>
            <w:r w:rsidR="00CA48CD">
              <w:t xml:space="preserve">ideas for </w:t>
            </w:r>
            <w:r w:rsidR="00657588">
              <w:t>small group</w:t>
            </w:r>
            <w:r w:rsidR="00CA48CD">
              <w:t>s</w:t>
            </w:r>
            <w:r w:rsidR="00657588">
              <w:t xml:space="preserve"> or independent experiments with numbers</w:t>
            </w:r>
            <w:r w:rsidR="00CA48CD">
              <w:t>.</w:t>
            </w:r>
          </w:p>
          <w:p w:rsidR="00967533" w:rsidRDefault="00967533" w:rsidP="005B3A0F"/>
        </w:tc>
      </w:tr>
      <w:tr w:rsidR="005B3A0F" w:rsidTr="004E238B">
        <w:tc>
          <w:tcPr>
            <w:tcW w:w="1950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C0419C" w:rsidP="005B3A0F">
            <w:r>
              <w:t>One lab</w:t>
            </w:r>
          </w:p>
          <w:p w:rsidR="00D7301C" w:rsidRDefault="00D7301C" w:rsidP="005B3A0F"/>
          <w:p w:rsidR="00D06FB4" w:rsidRDefault="00D06FB4" w:rsidP="005B3A0F">
            <w:pPr>
              <w:rPr>
                <w:color w:val="008080"/>
                <w:sz w:val="20"/>
                <w:szCs w:val="20"/>
              </w:rPr>
            </w:pPr>
          </w:p>
          <w:p w:rsidR="00603D55" w:rsidRDefault="00603D55" w:rsidP="005B3A0F">
            <w:pPr>
              <w:rPr>
                <w:color w:val="008080"/>
                <w:sz w:val="20"/>
                <w:szCs w:val="20"/>
              </w:rPr>
            </w:pPr>
          </w:p>
          <w:p w:rsidR="00603D55" w:rsidRDefault="00603D55" w:rsidP="005B3A0F">
            <w:pPr>
              <w:rPr>
                <w:color w:val="008080"/>
                <w:sz w:val="20"/>
                <w:szCs w:val="20"/>
              </w:rPr>
            </w:pPr>
          </w:p>
          <w:p w:rsidR="00603D55" w:rsidRDefault="00603D55" w:rsidP="005B3A0F">
            <w:pPr>
              <w:rPr>
                <w:color w:val="008080"/>
                <w:sz w:val="20"/>
                <w:szCs w:val="20"/>
              </w:rPr>
            </w:pPr>
          </w:p>
          <w:p w:rsidR="005B3A0F" w:rsidRPr="00D7301C" w:rsidRDefault="00D7301C" w:rsidP="005B3A0F">
            <w:pPr>
              <w:rPr>
                <w:color w:val="008080"/>
                <w:sz w:val="20"/>
                <w:szCs w:val="20"/>
              </w:rPr>
            </w:pPr>
            <w:r w:rsidRPr="00D7301C"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6906" w:type="dxa"/>
          </w:tcPr>
          <w:p w:rsidR="00D7301C" w:rsidRDefault="00657588" w:rsidP="00657588">
            <w:r>
              <w:t xml:space="preserve">Students </w:t>
            </w:r>
            <w:r w:rsidR="00D06FB4">
              <w:t>open</w:t>
            </w:r>
            <w:r w:rsidR="003C7FFB">
              <w:t xml:space="preserve"> their</w:t>
            </w:r>
            <w:r w:rsidR="00D7301C">
              <w:t xml:space="preserve"> previously made number slate and </w:t>
            </w:r>
            <w:r>
              <w:t xml:space="preserve">draw the symbols they will use in the math curriculum for Second and Third Grades. </w:t>
            </w:r>
            <w:r w:rsidR="00603D55">
              <w:t xml:space="preserve"> New students could use slates from EtoysIllinois.org, or make one. It takes about a half hour to make a slate of numbers.</w:t>
            </w:r>
          </w:p>
          <w:p w:rsidR="00D7301C" w:rsidRDefault="00D7301C" w:rsidP="00657588"/>
          <w:p w:rsidR="00657588" w:rsidRDefault="00D7301C" w:rsidP="00657588">
            <w:r>
              <w:t xml:space="preserve">Remind students to make the new signs </w:t>
            </w:r>
            <w:r w:rsidR="00657588">
              <w:t xml:space="preserve">small enough to fit </w:t>
            </w:r>
            <w:r w:rsidR="003C7FFB">
              <w:lastRenderedPageBreak/>
              <w:t>on their thumb nail.</w:t>
            </w:r>
          </w:p>
          <w:p w:rsidR="005B3A0F" w:rsidRDefault="005B3A0F" w:rsidP="003C7FFB"/>
        </w:tc>
      </w:tr>
      <w:tr w:rsidR="005B3A0F" w:rsidTr="004E238B">
        <w:tc>
          <w:tcPr>
            <w:tcW w:w="1950" w:type="dxa"/>
          </w:tcPr>
          <w:p w:rsidR="005B3A0F" w:rsidRDefault="005B3A0F" w:rsidP="005B3A0F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C0419C" w:rsidRPr="00C0419C" w:rsidRDefault="00C0419C" w:rsidP="005B3A0F"/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6906" w:type="dxa"/>
          </w:tcPr>
          <w:p w:rsidR="00657588" w:rsidRDefault="00D06FB4" w:rsidP="00657588">
            <w:r>
              <w:t>U</w:t>
            </w:r>
            <w:r w:rsidR="003C7FFB">
              <w:t xml:space="preserve">se these activities with the whole </w:t>
            </w:r>
            <w:r w:rsidR="00657588">
              <w:t>class</w:t>
            </w:r>
            <w:r w:rsidR="00805ED9">
              <w:t xml:space="preserve"> or pairs of students. The number slate is a </w:t>
            </w:r>
            <w:r w:rsidR="00657588">
              <w:t>source of beaut</w:t>
            </w:r>
            <w:r w:rsidR="00805ED9">
              <w:t xml:space="preserve">iful numbers for projects </w:t>
            </w:r>
            <w:r w:rsidR="00CA48CD">
              <w:t>in science, language arts, and social s</w:t>
            </w:r>
            <w:r w:rsidR="00657588">
              <w:t xml:space="preserve">ciences. </w:t>
            </w:r>
          </w:p>
          <w:p w:rsidR="00657588" w:rsidRDefault="00657588" w:rsidP="00657588"/>
          <w:p w:rsidR="00657588" w:rsidRDefault="00657588" w:rsidP="00657588">
            <w:r>
              <w:t>Ask how many numbers of each colo</w:t>
            </w:r>
            <w:r w:rsidR="004E238B">
              <w:t xml:space="preserve">r they have and make a chart </w:t>
            </w:r>
            <w:r>
              <w:t>on paper in the classroom from that data.</w:t>
            </w:r>
          </w:p>
          <w:p w:rsidR="004E238B" w:rsidRDefault="004E238B" w:rsidP="00657588"/>
          <w:p w:rsidR="00657588" w:rsidRDefault="00657588" w:rsidP="00657588">
            <w:r>
              <w:t>Ask what number comes next in a gi</w:t>
            </w:r>
            <w:r w:rsidR="004E238B">
              <w:t xml:space="preserve">ven sequence. Students could </w:t>
            </w:r>
            <w:r>
              <w:t xml:space="preserve">make sequences and pose them </w:t>
            </w:r>
            <w:r w:rsidR="004E238B">
              <w:t>as puzzles for nearby students to solve</w:t>
            </w:r>
            <w:r>
              <w:t>.</w:t>
            </w:r>
          </w:p>
          <w:p w:rsidR="00657588" w:rsidRDefault="00657588" w:rsidP="00657588"/>
          <w:p w:rsidR="00657588" w:rsidRDefault="00657588" w:rsidP="00657588">
            <w:r>
              <w:t>Use the set of</w:t>
            </w:r>
            <w:r w:rsidR="004E238B">
              <w:t xml:space="preserve"> numbers for experimenting with mathematical </w:t>
            </w:r>
            <w:r>
              <w:t>concepts, groups, and tens, some</w:t>
            </w:r>
            <w:r w:rsidR="004E238B">
              <w:t xml:space="preserve"> may be revealed more easily </w:t>
            </w:r>
            <w:r>
              <w:t>due to the colors students have chosen.</w:t>
            </w:r>
          </w:p>
          <w:p w:rsidR="00657588" w:rsidRDefault="00657588" w:rsidP="00657588">
            <w:r>
              <w:t xml:space="preserve">  </w:t>
            </w:r>
          </w:p>
          <w:p w:rsidR="00657588" w:rsidRDefault="00657588" w:rsidP="00657588">
            <w:r>
              <w:t xml:space="preserve">Practice math facts or </w:t>
            </w:r>
            <w:r w:rsidR="00805ED9">
              <w:t xml:space="preserve">to explore </w:t>
            </w:r>
            <w:r w:rsidR="004E238B">
              <w:t xml:space="preserve">word problems, or </w:t>
            </w:r>
            <w:r>
              <w:t>formulas.</w:t>
            </w:r>
          </w:p>
          <w:p w:rsidR="00657588" w:rsidRDefault="00657588" w:rsidP="00657588"/>
          <w:p w:rsidR="004E238B" w:rsidRDefault="00657588" w:rsidP="00657588">
            <w:r>
              <w:t>Note:</w:t>
            </w:r>
          </w:p>
          <w:p w:rsidR="004E238B" w:rsidRDefault="004E238B" w:rsidP="004E238B">
            <w:r>
              <w:t xml:space="preserve">There are two </w:t>
            </w:r>
            <w:r w:rsidR="00D06FB4">
              <w:t xml:space="preserve">easy </w:t>
            </w:r>
            <w:r>
              <w:t>ways to clear the screen of puzzles and problems students no longer want showing on their screen.</w:t>
            </w:r>
          </w:p>
          <w:p w:rsidR="004E238B" w:rsidRDefault="004E238B" w:rsidP="004E238B"/>
          <w:p w:rsidR="004E238B" w:rsidRDefault="004E238B" w:rsidP="004E238B">
            <w:r>
              <w:t>Do all the work on a new playfield and click</w:t>
            </w:r>
            <w:r w:rsidR="00D06FB4">
              <w:t xml:space="preserve"> the </w:t>
            </w:r>
            <w:r>
              <w:t>X</w:t>
            </w:r>
            <w:r w:rsidR="00805ED9">
              <w:t xml:space="preserve"> to through away it and everything on it</w:t>
            </w:r>
            <w:r>
              <w:t xml:space="preserve">. </w:t>
            </w:r>
          </w:p>
          <w:p w:rsidR="004E238B" w:rsidRDefault="004E238B" w:rsidP="004E238B"/>
          <w:p w:rsidR="00D06FB4" w:rsidRDefault="004E238B" w:rsidP="004E238B">
            <w:r>
              <w:t>Shift/drag key a box over the</w:t>
            </w:r>
            <w:r w:rsidR="00D06FB4">
              <w:t xml:space="preserve"> unwanted material then click the X.</w:t>
            </w:r>
          </w:p>
          <w:p w:rsidR="00657588" w:rsidRDefault="00657588" w:rsidP="004E238B">
            <w:r>
              <w:t>Remind students that the tip of the cursor arrow is what does the work, not the stem.</w:t>
            </w:r>
          </w:p>
          <w:p w:rsidR="00967533" w:rsidRDefault="00967533" w:rsidP="005B3A0F"/>
        </w:tc>
      </w:tr>
      <w:tr w:rsidR="00967533" w:rsidTr="004E238B">
        <w:tc>
          <w:tcPr>
            <w:tcW w:w="1950" w:type="dxa"/>
          </w:tcPr>
          <w:p w:rsidR="00967533" w:rsidRDefault="00E30133" w:rsidP="005B3A0F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3C7FFB" w:rsidRDefault="003C7FFB" w:rsidP="005B3A0F">
            <w:pPr>
              <w:rPr>
                <w:b/>
              </w:rPr>
            </w:pPr>
          </w:p>
          <w:p w:rsidR="00E30133" w:rsidRPr="00967533" w:rsidRDefault="00E30133" w:rsidP="005B3A0F">
            <w:pPr>
              <w:rPr>
                <w:b/>
              </w:rPr>
            </w:pPr>
          </w:p>
        </w:tc>
        <w:tc>
          <w:tcPr>
            <w:tcW w:w="6906" w:type="dxa"/>
          </w:tcPr>
          <w:p w:rsidR="00657588" w:rsidRDefault="00657588" w:rsidP="00657588">
            <w:r>
              <w:t xml:space="preserve">Show students an example screen if an LCP projector is available or use a computer and show examples to small groups. </w:t>
            </w:r>
          </w:p>
          <w:p w:rsidR="00967533" w:rsidRDefault="00967533" w:rsidP="005B3A0F"/>
        </w:tc>
      </w:tr>
      <w:tr w:rsidR="003C7FFB" w:rsidTr="004E238B">
        <w:tc>
          <w:tcPr>
            <w:tcW w:w="1950" w:type="dxa"/>
          </w:tcPr>
          <w:p w:rsidR="003C7FFB" w:rsidRDefault="003C7FFB" w:rsidP="005B3A0F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6906" w:type="dxa"/>
          </w:tcPr>
          <w:p w:rsidR="003C7FFB" w:rsidRDefault="003C7FFB" w:rsidP="003C7FFB">
            <w:r>
              <w:t>Mathematics</w:t>
            </w:r>
          </w:p>
          <w:p w:rsidR="003C7FFB" w:rsidRDefault="003C7FFB" w:rsidP="003C7FFB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</w:t>
            </w:r>
          </w:p>
          <w:p w:rsidR="003C7FFB" w:rsidRPr="00CE1820" w:rsidRDefault="003C7FFB" w:rsidP="003C7FFB">
            <w:r>
              <w:lastRenderedPageBreak/>
              <w:t>Second Grade</w:t>
            </w:r>
            <w:r w:rsidRPr="00CE1820">
              <w:t xml:space="preserve">: </w:t>
            </w:r>
          </w:p>
          <w:p w:rsidR="003C7FFB" w:rsidRPr="00CE1820" w:rsidRDefault="003C7FFB" w:rsidP="003C7FFB">
            <w:r w:rsidRPr="00CE1820">
              <w:t>6A, 6B, 6C, 6D</w:t>
            </w:r>
            <w:r w:rsidRPr="00CE1820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Number </w:t>
            </w:r>
            <w:r w:rsidRPr="00CE1820">
              <w:rPr>
                <w:bCs/>
              </w:rPr>
              <w:t>Work</w:t>
            </w:r>
          </w:p>
          <w:p w:rsidR="003C7FFB" w:rsidRDefault="003C7FFB" w:rsidP="003C7FFB">
            <w:pPr>
              <w:autoSpaceDE w:val="0"/>
              <w:autoSpaceDN w:val="0"/>
              <w:adjustRightInd w:val="0"/>
            </w:pPr>
            <w:r>
              <w:t>9A Patterns and Rules, counting by 2’s, 5’s, 10’s</w:t>
            </w:r>
          </w:p>
          <w:p w:rsidR="003C7FFB" w:rsidRPr="00CE1820" w:rsidRDefault="003C7FFB" w:rsidP="003C7FFB">
            <w:pPr>
              <w:autoSpaceDE w:val="0"/>
              <w:autoSpaceDN w:val="0"/>
              <w:adjustRightInd w:val="0"/>
            </w:pPr>
            <w:r w:rsidRPr="00CE1820">
              <w:t xml:space="preserve">9B </w:t>
            </w:r>
            <w:r w:rsidRPr="00CE1820">
              <w:rPr>
                <w:bCs/>
              </w:rPr>
              <w:t>Sorting</w:t>
            </w:r>
            <w:r w:rsidRPr="00CE1820">
              <w:tab/>
            </w:r>
          </w:p>
          <w:p w:rsidR="003C7FFB" w:rsidRDefault="003C7FFB" w:rsidP="003C7FFB">
            <w:pPr>
              <w:autoSpaceDE w:val="0"/>
              <w:autoSpaceDN w:val="0"/>
              <w:adjustRightInd w:val="0"/>
              <w:rPr>
                <w:bCs/>
              </w:rPr>
            </w:pPr>
            <w:r w:rsidRPr="00CE1820">
              <w:t>10B</w:t>
            </w:r>
            <w:r w:rsidRPr="00CE1820">
              <w:rPr>
                <w:b/>
                <w:bCs/>
              </w:rPr>
              <w:t xml:space="preserve"> </w:t>
            </w:r>
            <w:r w:rsidRPr="00CE1820">
              <w:rPr>
                <w:bCs/>
              </w:rPr>
              <w:t>Data Collection</w:t>
            </w:r>
          </w:p>
          <w:p w:rsidR="003C7FFB" w:rsidRDefault="003C7FFB" w:rsidP="003C7FF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C7FFB" w:rsidRDefault="003C7FFB" w:rsidP="003C7FFB">
            <w:pPr>
              <w:autoSpaceDE w:val="0"/>
              <w:autoSpaceDN w:val="0"/>
              <w:adjustRightInd w:val="0"/>
            </w:pPr>
            <w:r>
              <w:t>Third Grade:</w:t>
            </w:r>
          </w:p>
          <w:p w:rsidR="003C7FFB" w:rsidRPr="005A619B" w:rsidRDefault="003C7FFB" w:rsidP="003C7FFB">
            <w:pPr>
              <w:pStyle w:val="Default"/>
              <w:rPr>
                <w:sz w:val="28"/>
                <w:szCs w:val="28"/>
              </w:rPr>
            </w:pPr>
            <w:r w:rsidRPr="005A619B">
              <w:rPr>
                <w:sz w:val="28"/>
                <w:szCs w:val="28"/>
              </w:rPr>
              <w:t>6A</w:t>
            </w:r>
            <w:r>
              <w:rPr>
                <w:sz w:val="28"/>
                <w:szCs w:val="28"/>
              </w:rPr>
              <w:t>, 8A, 6C, 8C, 10A Visual Patterns, Number Patterns and Counting</w:t>
            </w:r>
          </w:p>
          <w:p w:rsidR="003C7FFB" w:rsidRPr="00CE1820" w:rsidRDefault="003C7FFB" w:rsidP="003C7FF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C7FFB" w:rsidRDefault="003C7FFB" w:rsidP="003C7FFB">
            <w:r>
              <w:t>Language Arts</w:t>
            </w:r>
          </w:p>
          <w:p w:rsidR="003C7FFB" w:rsidRDefault="003C7FFB" w:rsidP="003C7FFB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Listening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A.1a Listen attentively by facing the speaker, making eye</w:t>
            </w:r>
            <w:r>
              <w:t xml:space="preserve"> </w:t>
            </w:r>
            <w:r w:rsidRPr="008A194F">
              <w:t>contact and paraphrasing what is said.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A.1b Ask questions and respond to questions from the teacher</w:t>
            </w:r>
            <w:r>
              <w:t xml:space="preserve"> </w:t>
            </w:r>
            <w:r w:rsidRPr="008A194F">
              <w:t>and from group members to improve comprehension.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A.1c Follow oral instructions accurately.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A.1d Use visually oriented and auditory based media</w:t>
            </w:r>
          </w:p>
          <w:p w:rsidR="003C7FFB" w:rsidRPr="008A194F" w:rsidRDefault="003C7FFB" w:rsidP="003C7FFB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FB" w:rsidRDefault="003C7FFB" w:rsidP="003C7FFB">
            <w:r>
              <w:t>Language Arts</w:t>
            </w:r>
          </w:p>
          <w:p w:rsidR="003C7FFB" w:rsidRDefault="003C7FFB" w:rsidP="003C7FFB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Speaking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B.1a Present brief oral reports, using language and vocabulary</w:t>
            </w:r>
            <w:r>
              <w:t xml:space="preserve"> </w:t>
            </w:r>
            <w:r w:rsidRPr="008A194F">
              <w:t>appropriate to the mess</w:t>
            </w:r>
            <w:r>
              <w:t xml:space="preserve">age and audience (e.g. show and </w:t>
            </w:r>
            <w:r w:rsidRPr="008A194F">
              <w:t>tell)</w:t>
            </w:r>
          </w:p>
          <w:p w:rsidR="003C7FFB" w:rsidRDefault="003C7FFB" w:rsidP="003C7FFB">
            <w:r w:rsidRPr="008A194F">
              <w:t>4.</w:t>
            </w:r>
            <w:r>
              <w:t xml:space="preserve"> </w:t>
            </w:r>
            <w:r w:rsidRPr="008A194F">
              <w:t>B.1b Participate in di</w:t>
            </w:r>
            <w:r>
              <w:t>scussions around a common topic.</w:t>
            </w:r>
          </w:p>
          <w:p w:rsidR="003C7FFB" w:rsidRDefault="003C7FFB" w:rsidP="003C7FFB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FB" w:rsidRDefault="003C7FFB" w:rsidP="003C7FFB">
            <w:pPr>
              <w:ind w:left="360" w:hanging="360"/>
            </w:pPr>
            <w:r>
              <w:t>National Educational Technology Standards (NETS)</w:t>
            </w:r>
          </w:p>
          <w:p w:rsidR="003C7FFB" w:rsidRDefault="003C7FFB" w:rsidP="003C7FFB">
            <w:pPr>
              <w:ind w:left="360" w:hanging="360"/>
            </w:pPr>
            <w:r w:rsidRPr="006E778E">
              <w:t>1</w:t>
            </w:r>
            <w:r>
              <w:t>.</w:t>
            </w:r>
            <w:r w:rsidRPr="006E778E">
              <w:t xml:space="preserve"> Basic operations and concepts </w:t>
            </w:r>
          </w:p>
          <w:p w:rsidR="003C7FFB" w:rsidRDefault="003C7FFB" w:rsidP="003C7FFB">
            <w:pPr>
              <w:ind w:left="360" w:hanging="360"/>
            </w:pPr>
            <w:r w:rsidRPr="006E778E">
              <w:t>Students are profi</w:t>
            </w:r>
            <w:r>
              <w:t>cient in the use of technology.</w:t>
            </w:r>
          </w:p>
          <w:p w:rsidR="003C7FFB" w:rsidRDefault="003C7FFB" w:rsidP="003C7FFB">
            <w:pPr>
              <w:ind w:left="360" w:hanging="360"/>
            </w:pPr>
            <w:r>
              <w:t xml:space="preserve">2. </w:t>
            </w:r>
            <w:r w:rsidRPr="006E778E">
              <w:t>Technology productivity tools</w:t>
            </w:r>
          </w:p>
          <w:p w:rsidR="003C7FFB" w:rsidRDefault="003C7FFB" w:rsidP="003C7FFB">
            <w:pPr>
              <w:ind w:left="360" w:hanging="360"/>
            </w:pPr>
            <w:r w:rsidRPr="006E778E">
              <w:t>Students use technology tools to enhance learning,</w:t>
            </w:r>
            <w:r>
              <w:t xml:space="preserve"> increase </w:t>
            </w:r>
            <w:r w:rsidRPr="006E778E">
              <w:t>productivity, and promote creativity.</w:t>
            </w:r>
          </w:p>
          <w:p w:rsidR="003C7FFB" w:rsidRPr="006E778E" w:rsidRDefault="003C7FFB" w:rsidP="003C7FFB">
            <w:pPr>
              <w:ind w:left="360" w:hanging="360"/>
            </w:pPr>
            <w:r w:rsidRPr="006E778E">
              <w:t>Students use productivity tools to collaborate in constructing technology-enhanced models, prepare publications, and produce other creative works</w:t>
            </w:r>
          </w:p>
          <w:p w:rsidR="003C7FFB" w:rsidRDefault="003C7FFB" w:rsidP="003C7FFB">
            <w:pPr>
              <w:ind w:left="360" w:hanging="360"/>
            </w:pPr>
            <w:r w:rsidRPr="006E778E">
              <w:t>4</w:t>
            </w:r>
            <w:r>
              <w:t xml:space="preserve">. </w:t>
            </w:r>
            <w:r w:rsidRPr="006E778E">
              <w:t xml:space="preserve">Technology communications tools </w:t>
            </w:r>
          </w:p>
          <w:p w:rsidR="00805ED9" w:rsidRDefault="003C7FFB" w:rsidP="003C7FFB">
            <w:pPr>
              <w:ind w:left="360" w:hanging="360"/>
            </w:pPr>
            <w:r w:rsidRPr="006E778E">
              <w:t>Students use a</w:t>
            </w:r>
            <w:r>
              <w:t xml:space="preserve"> variety of media and formats to </w:t>
            </w:r>
            <w:r w:rsidRPr="006E778E">
              <w:t>communicate information and ideas effectively to</w:t>
            </w:r>
          </w:p>
          <w:p w:rsidR="003C7FFB" w:rsidRDefault="003C7FFB" w:rsidP="003C7FFB">
            <w:pPr>
              <w:ind w:left="360" w:hanging="360"/>
            </w:pPr>
            <w:r w:rsidRPr="006E778E">
              <w:lastRenderedPageBreak/>
              <w:t xml:space="preserve">multiple audiences. </w:t>
            </w:r>
          </w:p>
          <w:p w:rsidR="003C7FFB" w:rsidRDefault="003C7FFB" w:rsidP="00657588"/>
        </w:tc>
      </w:tr>
      <w:tr w:rsidR="005B3A0F" w:rsidTr="004E238B">
        <w:tc>
          <w:tcPr>
            <w:tcW w:w="1950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6906" w:type="dxa"/>
          </w:tcPr>
          <w:p w:rsidR="003C7FFB" w:rsidRPr="006C5657" w:rsidRDefault="003C7FFB" w:rsidP="003C7FFB">
            <w:r>
              <w:t>Etoys Help Quick Guides: Open Etoys and click the</w:t>
            </w:r>
            <w:r w:rsidRPr="00776AB4">
              <w:t xml:space="preserve">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3C7FFB" w:rsidRDefault="00DC1E0D" w:rsidP="003C7FFB">
            <w:pPr>
              <w:rPr>
                <w:b/>
              </w:rPr>
            </w:pPr>
            <w:hyperlink r:id="rId7" w:history="1">
              <w:r w:rsidR="003C7FFB" w:rsidRPr="00DF5CC9">
                <w:rPr>
                  <w:rStyle w:val="Hyperlink"/>
                  <w:b/>
                </w:rPr>
                <w:t>EtoysIllinois.org</w:t>
              </w:r>
            </w:hyperlink>
            <w:r w:rsidR="003C7FFB">
              <w:rPr>
                <w:b/>
              </w:rPr>
              <w:t xml:space="preserve">  </w:t>
            </w:r>
            <w:r w:rsidR="003C7FFB">
              <w:t xml:space="preserve">for </w:t>
            </w:r>
            <w:r w:rsidR="003C7FFB" w:rsidRPr="001454A1">
              <w:t>projects, tutorials</w:t>
            </w:r>
            <w:r w:rsidR="003C7FFB">
              <w:t>,</w:t>
            </w:r>
            <w:r w:rsidR="003C7FFB" w:rsidRPr="001454A1">
              <w:t xml:space="preserve"> and lesson plans</w:t>
            </w:r>
          </w:p>
          <w:p w:rsidR="003C7FFB" w:rsidRDefault="00DC1E0D" w:rsidP="003C7FFB">
            <w:pPr>
              <w:rPr>
                <w:b/>
              </w:rPr>
            </w:pPr>
            <w:hyperlink r:id="rId8" w:history="1">
              <w:r w:rsidR="003C7FFB" w:rsidRPr="00DF5CC9">
                <w:rPr>
                  <w:rStyle w:val="Hyperlink"/>
                  <w:b/>
                </w:rPr>
                <w:t>Squeakland.org</w:t>
              </w:r>
            </w:hyperlink>
            <w:r w:rsidR="003C7FFB">
              <w:rPr>
                <w:b/>
              </w:rPr>
              <w:t xml:space="preserve">   </w:t>
            </w:r>
            <w:r w:rsidR="003C7FFB" w:rsidRPr="00167CE9">
              <w:t>to</w:t>
            </w:r>
            <w:r w:rsidR="003C7FFB">
              <w:rPr>
                <w:b/>
              </w:rPr>
              <w:t xml:space="preserve"> </w:t>
            </w:r>
            <w:r w:rsidR="003C7FFB" w:rsidRPr="001454A1">
              <w:t>download Etoys software</w:t>
            </w:r>
          </w:p>
          <w:p w:rsidR="00967533" w:rsidRDefault="00967533" w:rsidP="003C7FFB"/>
        </w:tc>
      </w:tr>
      <w:tr w:rsidR="00967533" w:rsidTr="004E238B">
        <w:tc>
          <w:tcPr>
            <w:tcW w:w="1950" w:type="dxa"/>
          </w:tcPr>
          <w:p w:rsidR="00967533" w:rsidRDefault="00967533" w:rsidP="00967533">
            <w:r>
              <w:t>kh</w:t>
            </w:r>
          </w:p>
          <w:p w:rsidR="007E4235" w:rsidRPr="007E4235" w:rsidRDefault="00C0419C" w:rsidP="003C7FFB">
            <w:r>
              <w:t>April 9, 2012</w:t>
            </w:r>
          </w:p>
        </w:tc>
        <w:tc>
          <w:tcPr>
            <w:tcW w:w="6906" w:type="dxa"/>
          </w:tcPr>
          <w:p w:rsidR="00967533" w:rsidRDefault="00967533" w:rsidP="005B3A0F"/>
        </w:tc>
      </w:tr>
    </w:tbl>
    <w:p w:rsidR="001B2FB3" w:rsidRDefault="001B2FB3"/>
    <w:sectPr w:rsidR="001B2FB3" w:rsidSect="00DC1E0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0E" w:rsidRDefault="00AE7A0E">
      <w:r>
        <w:separator/>
      </w:r>
    </w:p>
  </w:endnote>
  <w:endnote w:type="continuationSeparator" w:id="0">
    <w:p w:rsidR="00AE7A0E" w:rsidRDefault="00AE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72" w:rsidRDefault="00DC1E0D" w:rsidP="00977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1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172" w:rsidRDefault="000E4172" w:rsidP="000E41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72" w:rsidRDefault="00DC1E0D" w:rsidP="00977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1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A41">
      <w:rPr>
        <w:rStyle w:val="PageNumber"/>
        <w:noProof/>
      </w:rPr>
      <w:t>1</w:t>
    </w:r>
    <w:r>
      <w:rPr>
        <w:rStyle w:val="PageNumber"/>
      </w:rPr>
      <w:fldChar w:fldCharType="end"/>
    </w:r>
  </w:p>
  <w:p w:rsidR="000E4172" w:rsidRDefault="00E24C30" w:rsidP="000E4172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0E" w:rsidRDefault="00AE7A0E">
      <w:r>
        <w:separator/>
      </w:r>
    </w:p>
  </w:footnote>
  <w:footnote w:type="continuationSeparator" w:id="0">
    <w:p w:rsidR="00AE7A0E" w:rsidRDefault="00AE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72" w:rsidRPr="00011CA6" w:rsidRDefault="000E4172" w:rsidP="000E4172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0E4172" w:rsidRPr="00011CA6" w:rsidRDefault="000E4172" w:rsidP="000E4172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0E4172" w:rsidRDefault="000E4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E4172"/>
    <w:rsid w:val="001B2FB3"/>
    <w:rsid w:val="001D752B"/>
    <w:rsid w:val="003C7FFB"/>
    <w:rsid w:val="004E238B"/>
    <w:rsid w:val="005B3A0F"/>
    <w:rsid w:val="005B6E72"/>
    <w:rsid w:val="00603D55"/>
    <w:rsid w:val="00657588"/>
    <w:rsid w:val="007E4235"/>
    <w:rsid w:val="00805ED9"/>
    <w:rsid w:val="00816802"/>
    <w:rsid w:val="00884350"/>
    <w:rsid w:val="00967533"/>
    <w:rsid w:val="00977511"/>
    <w:rsid w:val="00A94915"/>
    <w:rsid w:val="00AE7A0E"/>
    <w:rsid w:val="00C0419C"/>
    <w:rsid w:val="00C66FD6"/>
    <w:rsid w:val="00CA48CD"/>
    <w:rsid w:val="00D06FB4"/>
    <w:rsid w:val="00D7301C"/>
    <w:rsid w:val="00DC1E0D"/>
    <w:rsid w:val="00DC63FB"/>
    <w:rsid w:val="00DE6875"/>
    <w:rsid w:val="00E24C30"/>
    <w:rsid w:val="00E30133"/>
    <w:rsid w:val="00EA1AFB"/>
    <w:rsid w:val="00EA3934"/>
    <w:rsid w:val="00F6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customStyle="1" w:styleId="bulletround">
    <w:name w:val="bulletround"/>
    <w:basedOn w:val="Normal"/>
    <w:rsid w:val="00657588"/>
    <w:pPr>
      <w:tabs>
        <w:tab w:val="num" w:pos="360"/>
        <w:tab w:val="num" w:pos="486"/>
      </w:tabs>
      <w:spacing w:line="180" w:lineRule="atLeast"/>
      <w:ind w:left="486" w:hanging="270"/>
    </w:pPr>
    <w:rPr>
      <w:rFonts w:ascii="Times" w:hAnsi="Times" w:cs="Times"/>
      <w:sz w:val="16"/>
      <w:szCs w:val="16"/>
    </w:rPr>
  </w:style>
  <w:style w:type="paragraph" w:customStyle="1" w:styleId="Default">
    <w:name w:val="Default"/>
    <w:rsid w:val="006575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0E41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172"/>
  </w:style>
  <w:style w:type="paragraph" w:styleId="Header">
    <w:name w:val="header"/>
    <w:basedOn w:val="Normal"/>
    <w:rsid w:val="000E4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eaklan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oysIllinoi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5378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5</cp:revision>
  <cp:lastPrinted>2012-04-09T12:30:00Z</cp:lastPrinted>
  <dcterms:created xsi:type="dcterms:W3CDTF">2012-04-09T12:24:00Z</dcterms:created>
  <dcterms:modified xsi:type="dcterms:W3CDTF">2012-04-10T20:42:00Z</dcterms:modified>
</cp:coreProperties>
</file>